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80085" w14:textId="77777777" w:rsidR="008E10C8" w:rsidRDefault="004C4610">
      <w:r>
        <w:t>W związku ze zbliżającymi się sparingami drużyn THL ,MHL, Młodzieżowych Kadr Narodowych, przypominamy :  rozliczenia delegeacji sędziowskich sędziów lodowych i sędziów pomocniczych zgodnie z tabelą ekwiwalentów zatwierdzona przez PZHL  w poprzednim sezonie.</w:t>
      </w:r>
      <w:r w:rsidR="001304C6">
        <w:t xml:space="preserve"> Niedopuszczalnym jest rozegranie jakiegokolwiek sparingu bez udziału  sędziego sekretarza  i opieki medycznej</w:t>
      </w:r>
      <w:bookmarkStart w:id="0" w:name="_GoBack"/>
      <w:bookmarkEnd w:id="0"/>
      <w:r w:rsidR="001304C6">
        <w:t>.</w:t>
      </w:r>
    </w:p>
    <w:sectPr w:rsidR="008E10C8" w:rsidSect="00C63A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0"/>
    <w:rsid w:val="001304C6"/>
    <w:rsid w:val="004C4610"/>
    <w:rsid w:val="008E10C8"/>
    <w:rsid w:val="00BD0C5B"/>
    <w:rsid w:val="00C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A4C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317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2024-08-05T20:05:00Z</dcterms:created>
  <dcterms:modified xsi:type="dcterms:W3CDTF">2024-08-05T20:23:00Z</dcterms:modified>
</cp:coreProperties>
</file>